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130" w:hanging="4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40"/>
          <w:szCs w:val="40"/>
          <w:rtl w:val="0"/>
        </w:rPr>
        <w:t xml:space="preserve">Syllabus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delle conoscenze richieste TOLC-S Sezione di FISICA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3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3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right="-9" w:hanging="42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syllabus relativo alla Fisica della sezione di Scienze di Base è volutamente limitato alle conoscenze fondamentali previste in uscita da quasi tutti gli indirizzi di studio secondari di secondo grado e non sono richiesti ulteriori particolari approfondimenti. È opportuno sottolineare l’indispensabilità di alcune competenze matematiche relative alla modellizzazione di fenomeni naturali, in particolare: </w:t>
      </w:r>
      <w:r w:rsidDel="00000000" w:rsidR="00000000" w:rsidRPr="00000000">
        <w:rPr>
          <w:i w:val="1"/>
          <w:color w:val="000000"/>
          <w:rtl w:val="0"/>
        </w:rPr>
        <w:t xml:space="preserve">i)</w:t>
      </w:r>
      <w:r w:rsidDel="00000000" w:rsidR="00000000" w:rsidRPr="00000000">
        <w:rPr>
          <w:color w:val="000000"/>
          <w:rtl w:val="0"/>
        </w:rPr>
        <w:t xml:space="preserve"> l’utilizzo di rappresentazioni grafiche e di modelli funzionali relativi almeno a proporzionalità diretta e inversa, dipendenza lineare, proporzionalità quadratica crescente e decrescente, dipendenza sinusoidale, esponenziale e logaritmica; </w:t>
      </w:r>
      <w:r w:rsidDel="00000000" w:rsidR="00000000" w:rsidRPr="00000000">
        <w:rPr>
          <w:i w:val="1"/>
          <w:color w:val="000000"/>
          <w:rtl w:val="0"/>
        </w:rPr>
        <w:t xml:space="preserve">ii)</w:t>
      </w:r>
      <w:r w:rsidDel="00000000" w:rsidR="00000000" w:rsidRPr="00000000">
        <w:rPr>
          <w:color w:val="000000"/>
          <w:rtl w:val="0"/>
        </w:rPr>
        <w:t xml:space="preserve"> il riconoscimento di relazioni di proporzionalità fra le grandezze utilizzate in una legge, sia in esercizi di tipo algebrico che grafico. È inoltre indispensabile saper utilizzare: le unità di misura del Sistema Internazionale, compresi i prefissi, e le unità pratiche utilizzate più comunemente in ambito scientifico, la notazione scientifica, il concetto di ordine di grandezza, il calcolo vettoriale limitatamente a composizione e scomposizione di vettori e al prodotto scalare.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right="-9" w:hanging="42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Per rispondere ai quesiti che si trovano in questo modulo occorre comprendere il testo delle domande e delle risposte e ragionare sulle informazioni fornite, collegandole mediante le leggi opportune. Le conoscenze specifiche richieste sono raccolte in otto nuclei tematici. I quesiti sono costruiti in modo che non sia necessaria la calcolatrice, il cui uso non è consentito durante lo svolgimento del test. Si segnala che in un singolo quesito si possono incontrare concetti che sono indicati nel syllabus in più nuclei tematici.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right="-9" w:hanging="428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        P</w:t>
      </w:r>
      <w:r w:rsidDel="00000000" w:rsidR="00000000" w:rsidRPr="00000000">
        <w:rPr>
          <w:color w:val="000000"/>
          <w:rtl w:val="0"/>
        </w:rPr>
        <w:t xml:space="preserve">er ogni nucleo sono descritte le abilità e capacità di operare con i concetti e le grandezze fisiche, che sono utili per rispondere ai quesiti, collegandoli opportunamente tra di loro. Nel </w:t>
      </w:r>
      <w:r w:rsidDel="00000000" w:rsidR="00000000" w:rsidRPr="00000000">
        <w:rPr>
          <w:color w:val="0066ff"/>
          <w:u w:val="single"/>
          <w:rtl w:val="0"/>
        </w:rPr>
        <w:t xml:space="preserve">Quadro di Riferimento per la Fisica</w:t>
      </w:r>
      <w:r w:rsidDel="00000000" w:rsidR="00000000" w:rsidRPr="00000000">
        <w:rPr>
          <w:color w:val="000000"/>
          <w:rtl w:val="0"/>
        </w:rPr>
        <w:t xml:space="preserve">, reperibile sul sito web del </w:t>
      </w:r>
      <w:r w:rsidDel="00000000" w:rsidR="00000000" w:rsidRPr="00000000">
        <w:rPr>
          <w:color w:val="0066ff"/>
          <w:u w:val="single"/>
          <w:rtl w:val="0"/>
        </w:rPr>
        <w:t xml:space="preserve">progetto ORIENTAZIONE</w:t>
      </w:r>
      <w:r w:rsidDel="00000000" w:rsidR="00000000" w:rsidRPr="00000000">
        <w:rPr>
          <w:color w:val="000000"/>
          <w:rtl w:val="0"/>
        </w:rPr>
        <w:t xml:space="preserve">, si può trovare una descrizione più dettagliata degli argomenti e delle abilità indicate nel syllabus, inseriti in una cornice più ampia e corredati da diversi esempi di questioni e di esercizi che possono essere utili per valutare ed eventualmente migliorare la propria preparazione.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right="-9" w:hanging="42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right="-9" w:hanging="42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5"/>
        </w:tabs>
        <w:spacing w:line="240" w:lineRule="auto"/>
        <w:ind w:left="-2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Grandezze fisiche e misura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5"/>
        </w:tabs>
        <w:spacing w:line="240" w:lineRule="auto"/>
        <w:ind w:left="426" w:hanging="428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Le grandezze fisiche sono fondamentali per modellizzare i fenomeni fisici e per fare confronti quantitativi tra modelli e realtà fisica. Per affrontare con successo i quesiti relativi a questo nucleo occorre essere in grado di: operare con i valori delle grandezze fisiche utilizzando in maniera appropriata le unità di misura S.I.; utilizzare la notazione scientifica, anche per effettuare stime di ordini di grandezza; riconoscere e stimare le incertezze, caratterizzarle dal punto di vista matematico, collegare la loro definizione ad aspetti laboratoriali e di rappresentazione delle misure. È inoltre importante saper riconoscere le rappresentazioni grafiche dei principali modelli funzionali comunemente utilizzati per esprimere relazioni tra grandezze fisiche.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5"/>
        </w:tabs>
        <w:spacing w:line="240" w:lineRule="auto"/>
        <w:ind w:left="426" w:hanging="428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Principali grandezze fisiche (distinte tra fondamentali e derivate) e loro unità di misura nel S.I.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840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Prefissi utilizzati per multipli e sottomultipli, e loro scrittura come potenze di 10 nella notazione scientifica.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Conversione da unità di misura utilizzate nella vita quotidiana a unità del S.I., e viceversa.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Distinzione tra misura, stima e ordine di grandezza.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Concetto di incertezza di una misura, e distinzione tra incertezze sistematiche e casuali.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139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Approssimazione del valore numerico di una grandezza e troncamento conforme alla convenzione sulle cifre significative.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409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Rappresentazioni grafiche e modelli funzionali di base: proporzionalità diretta e inversa, dipendenza lineare, dipendenza quadratica e dal reciproco del quadrato, dipendenza periodica di tipo sinusoidale, dipendenze esponenziale e logaritmica.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-2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Cinematica e dinamica del punto materiale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punto materiale è un’utile astrazione che, in molti casi concreti e sotto opportune condizioni, consente di descrivere (cinematica), spiegare e prevedere (dinamica) in maniera semplice gli aspetti principali del moto di oggetti reali. Per affrontare con successo i quesiti relativi a questo nucleo bisogna aver familiarità con i principali concetti utili a descrivere il moto (posizione, spostamento, traiettoria, velocità, accelerazione) e con quelli inerenti alla variazione dello stato di moto di un corpo (forza e massa). Occorre inoltre conoscere i concetti di lavoro ed energia, che sono strettamente legati a quello di forza. Si deve altresì essere in grado di applicare tali conoscenze al fine di: calcolare la velocità e l’accelerazione di un corpo a partire da informazioni sulla posizione e il tempo; determinare o stimare i parametri cinematici dei più comuni tipi di moto, sulla base delle loro rappresentazioni grafiche; applicare la relazione tra forza e accelerazione per determinare l’una, nota l’altra, e viceversa, utilizzando in maniera appropriata le unità di misura; saper utilizzare il principio di conservazione dell’energia meccanica per risolvere semplici problemi relativi al moto di un corpo.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686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Descrizione del moto: posizione, traiettoria, spostamento, istante di tempo e intervallo di tempo. Velocità e accelerazione di un corpo con le rispettive unità di misura.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19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Moto rettilineo uniforme e moto rettilineo uniformemente accelerato, descritti mediante i grafici della posizione, della velocità e dell’accelerazione in funzione del tempo.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Moto di caduta libera di un grave.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228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Moto circolare uniforme (periodo, frequenza, velocità lineare e velocità angolare e legami algebrici tra essi).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Principio d’inerzia.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Concetto di forza e seconda legge della dinamica.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33"/>
          <w:tab w:val="left" w:pos="567"/>
        </w:tabs>
        <w:spacing w:line="240" w:lineRule="auto"/>
        <w:ind w:left="567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Concetto di lavoro di una forza, di energia cinetica, e teorema dell’energia cinetica.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right="113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Energia potenziale e principio di conservazione dell’energia meccanica.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Meccanica dei fluidi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454" w:hanging="454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Le proprietà meccaniche dei fluidi (sia quelle statiche, che quelle legate al loro moto e al moto di oggetti al loro interno) sono di cruciale importanza per i sistemi viventi, dalla scala microscopica, su su fino a quella degli ecosistemi. Per affrontare con successo i quesiti relativi a questo nucleo occorre possedere le conoscenze elencate ed essere in grado di applicarle a semplici fenomeni osservabili nella quotidianità, quali ad esempio: vasi comunicanti, galleggiamento, flusso in condotte. Particolare dimestichezza è richiesta con i concetti di densità e pressione e con l’appropriato impiego delle loro unità di misura, incluse quelle di uso pratico non facenti parte del S.I.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454" w:hanging="454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454" w:hanging="45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Grandezze per la descrizione dei fluidi in quiete: densità, pressione.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454" w:hanging="45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Leggi che governano i fluidi in quiete e i fenomeni connessi: Pascal, </w:t>
      </w:r>
      <w:r w:rsidDel="00000000" w:rsidR="00000000" w:rsidRPr="00000000">
        <w:rPr>
          <w:sz w:val="20"/>
          <w:szCs w:val="20"/>
          <w:rtl w:val="0"/>
        </w:rPr>
        <w:t xml:space="preserve">Stevino,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Archimede.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454" w:right="272" w:hanging="45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Grandezze, concetti e leggi per i fluidi in moto: </w:t>
      </w:r>
      <w:r w:rsidDel="00000000" w:rsidR="00000000" w:rsidRPr="00000000">
        <w:rPr>
          <w:sz w:val="20"/>
          <w:szCs w:val="20"/>
          <w:rtl w:val="0"/>
        </w:rPr>
        <w:t xml:space="preserve">f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lusso (laminare, turbolento), portata di una condotta, legge di continuità per fluidi incomprimibili.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Termodinamica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567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La termodinamica ha un rilievo fondamentale per la comprensione di numerosi fenomeni e sistemi naturali; sia nella sua dimensione di studio delle trasformazioni dell’energia tra le diverse forme (primo principio), che in quella relativa alle limitazioni di tali trasformazioni (secondo principio). Il gas ideale è il sistema fisico semplice maggiormente utile per acquisire familiarità con i concetti e le leggi termodinamiche. Pertanto, per affrontare con successo i quesiti relativi a questo nucleo occorre essere in grado di: descrivere quantitativamente lo stato del gas ideale e le sue trasformazioni mediante l’utilizzo appropriato delle variabili di stato (P, V, T); applicare la formulazione algebrica del primo principio della termodinamica per determinare gli scambi energetici durante semplici trasformazioni del gas ideale; prevedere il verso di una trasformazione spontanea sulla base del secondo principio della termodinamica. Anche per questo nucleo, particolare importanza è rivestita dal corretto utilizzo delle unità di misura delle grandezze coinvolte, anche con riferimento a unità di uso comune non incluse nel S.I. (es: litro, atmosfera, caloria).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40" w:lineRule="auto"/>
        <w:ind w:left="567" w:hanging="567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Concetto di gas ideale e grandezze atte a definirne lo stato: pressione, volume, temperatura.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Scale termometriche Kelvin e Celsius.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Equazione di stato dei gas ideali.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Calore come modalità di scambio dell’energia. Primo principio della termodinamica.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145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Aspetti qualitativi del secondo principio della termodinamica, con riferimento alle limitazioni della conversione tra energia meccanica e energia termica.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" w:right="14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9"/>
        </w:tabs>
        <w:spacing w:line="240" w:lineRule="auto"/>
        <w:ind w:left="-2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Elettrostatica e correnti elettriche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Questo nucleo riguarda il concetto di carica elettrica, le interazioni tra cariche in quiete, il loro moto collettivo; nonché il modo in cui i differenti materiali si comportano nei confronti della carica elettrica. Per affrontare con successo i quesiti relativi a questo nucleo occorre: essere in grado di determinare in situazioni semplici le forze agenti su cariche elettriche puntiformi; conoscere il concetto di campo elettrico inteso come proprietà dello spazio che rende conto dell’interazione a distanza tra cariche; conoscere il concetto di differenza di potenziale elettrostatico tra due punti dello spazio e saperlo applicare alla risoluzione di semplici problemi del moto di cariche (si osservi che questo aspetto è strettamente legato all’ultimo punto del nucleo 2 “Cinematica e dinamica del punto materiale”, il quale ne costituisce presupposto); conoscere e saper applicare la legge di Ohm al fine di determinare l’intensità di corrente in un conduttore, data la differenza di potenziale ai suoi capi, e viceversa; saper riconoscere gli effetti dissipativi del flusso di corrente elettrica in un conduttore.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Fenomeni di elettrizzazione e carica elettrica.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Fenomenologia delle interazioni elettrostatiche tra cariche puntiformi e Legge di Coulomb.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Concetto di campo elettrico ed esempi semplici: campo elettrico di una carica puntiforme e campo elettrico uniforme.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Energia potenziale elettrostatica, potenziale elettrostatico e differenza di potenziale.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Comportamento elettrico dei materiali: isolanti e conduttori.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Corrente elettrica come moto ordinato di cariche; intensità di corrente elettrica.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Resistenza elettrica e prima legge di Ohm.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Effetto Joule.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9"/>
        </w:tabs>
        <w:spacing w:line="240" w:lineRule="auto"/>
        <w:ind w:left="-2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Oscillazioni e onde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fenomeni ondulatori sono onnipresenti in natura; pertanto la loro conoscenza di base è indispensabile per l’approccio alle scienze empiriche. Le onde sono caratterizzate da duplice periodicità: sia spaziale che temporale. Pertanto la loro comprensione presuppone quella dei fenomeni periodici, come il moto oscillatorio armonico. Per affrontare con successo i quesiti relativi a questo nucleo occorre: essere in grado di descrivere e riconoscere un moto di tipo periodico oscillatorio utilizzando sia il linguaggio verbale, che quello algebrico e quello grafico; conoscere e saper utilizzare le relazioni algebriche tra i parametri caratteristici del moto periodico oscillatorio; per un’onda, saper riconoscere la lunghezza d’onda e il periodo come espressioni della sua duplice periodicità, rispettivamente nello spazio e nel tempo; conoscere e saper utilizzare la relazione algebrica tra lunghezza d’onda, frequenza e velocità di propagazione di un’onda.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 periodici e loro descrizione: periodo e frequenza.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Moto armonico semplice: periodo, frequenza, pulsazione, ampiezza.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come fenomeni periodici sia nello spazio che nel tempo.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</w:tabs>
        <w:spacing w:after="0" w:before="0" w:line="240" w:lineRule="auto"/>
        <w:ind w:left="567" w:right="205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Grandezze caratteristiche delle onde e relazioni algebriche tra di esse: ampiezza, frequenza, lunghezza d’onda, velocità di propagazione.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9"/>
        </w:tabs>
        <w:spacing w:line="24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Magnetismo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569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Per affrontare con successo i quesiti relativi a questo nucleo occorre: conoscere e saper descrivere il comportamento di un magnete permanente, sia in presenza di un altro magnete permanente, che in presenza di materiali di tipo ferromagnetico e non; aver familiarità con la rappresentazione grafica dell’effetto di un magnete sullo spazio circostante in termini di linee di campo; conoscere qualitativamente gli effetti magnetici dei fili percorsi da correnti elettriche; riconoscere l’azione che il campo magnetico esercita su una carica in moto e saper descrivere qualitativamente tale moto in situazioni semplici.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569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144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Fenomenologia delle interazioni tra magneti permanenti; analogie e differenze con le interazioni di tipo elettrostatico; carattere intrinsecamente dipolare dei magneti.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Proprietà magnetiche dei materiali: ferromagnetici e non ferromagnetici.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Concetto di campo magnetico e descrizione grafica del campo magnetico di un magnete a barretta.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64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Effetti magnetici delle correnti elettriche e descrizione grafica del campo magnetico generato da correnti in casi semplici: filo molto lungo e solenoide, percorsi da corrente elettrica di intensità costante.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Forza di Lorentz: descrizione qualitativa del moto di cariche puntiformi in campi magnetici uniformi.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-2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Fisica moderna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569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Il modello fisico moderno del mondo atomico e subatomico è frutto di diversi decenni di evoluzione concettuale, a cavallo tra i secoli XIX e XX. La scoperta e l’interpretazione della radioattività, e il progressivo riconoscimento della natura corpuscolare della luce, si sono intrecciati strettamente con tale evoluzione. Per affrontare con successo i quesiti relativi a questo nucleo occorre: saper descrivere l’atomo, il nucleo atomico e i loro costituenti; saper descrivere i più semplici decadimenti radioattivi, interpretandoli con riferimento ai costituenti del nucleo atomico; conoscere la natura esponenziale nel tempo del decadimento radioattivo e saper stimare i tempi che lo caratterizzano, mediante l’analisi delle rappresentazioni grafiche; conoscere qualitativamente la duplice natura ondulatoria e corpuscolare della luce, e riconoscere che in particolari situazioni essa si comporta come se fosse costituita da particelle dette fotoni; conoscere e saper utilizzare in casi semplici la relazione algebrica tra le grandezze fisiche caratteristiche del fotone.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569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Principali risultati sperimentali che hanno condotto alla nascita della Fisica moderna: Radiazione di corpo nero, effetto fotoelettrico.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Modello atomico, livelli energetici e transizioni.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682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Costituzione del nucleo atomico e principali decadimenti radioattivi.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682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Descrizione analitica e grafica del decadimento radioattivo esponenziale.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-9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Duplice natura ondulatoria e corpuscolare della luce e concetto di fotone: relazione tra frequenza, lunghezza d’onda ed energia. Spettro elettromagnetico.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8"/>
        </w:tabs>
        <w:spacing w:line="240" w:lineRule="auto"/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1418" w:top="1701" w:left="1418" w:right="141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right"/>
      <w:rPr>
        <w:rFonts w:ascii="Arial" w:cs="Arial" w:eastAsia="Arial" w:hAnsi="Arial"/>
        <w:b w:val="0"/>
        <w:i w:val="0"/>
        <w:smallCaps w:val="0"/>
        <w:strike w:val="0"/>
        <w:color w:val="bfbfb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16"/>
        <w:szCs w:val="16"/>
        <w:u w:val="none"/>
        <w:shd w:fill="auto" w:val="clear"/>
        <w:vertAlign w:val="baseline"/>
        <w:rtl w:val="0"/>
      </w:rPr>
      <w:t xml:space="preserve">Syllabus TOLC-S – Sezione di Fisica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-76095</wp:posOffset>
          </wp:positionH>
          <wp:positionV relativeFrom="paragraph">
            <wp:posOffset>-268564</wp:posOffset>
          </wp:positionV>
          <wp:extent cx="1370153" cy="57831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-76732</wp:posOffset>
          </wp:positionH>
          <wp:positionV relativeFrom="paragraph">
            <wp:posOffset>-268564</wp:posOffset>
          </wp:positionV>
          <wp:extent cx="1370153" cy="57831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26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3664" w:hanging="143.00000000000045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4600" w:hanging="1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5537" w:hanging="142.999999999999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6473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7410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8346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9283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0219" w:hanging="142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58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58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58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58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58" w:hanging="143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96" w:hanging="1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32" w:hanging="143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69" w:hanging="1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005" w:hanging="1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942" w:hanging="1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878" w:hanging="1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815" w:hanging="14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51" w:hanging="142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88" w:hanging="35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uiPriority w:val="9"/>
    <w:qFormat w:val="1"/>
    <w:pPr>
      <w:ind w:left="688" w:hanging="358"/>
    </w:pPr>
    <w:rPr>
      <w:b w:val="1"/>
      <w:b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spacing w:before="21"/>
      <w:ind w:left="258" w:hanging="143"/>
    </w:pPr>
  </w:style>
  <w:style w:type="paragraph" w:styleId="Paragrafoelenco">
    <w:name w:val="List Paragraph"/>
    <w:basedOn w:val="Normale"/>
    <w:pPr>
      <w:ind w:left="258" w:hanging="143"/>
    </w:pPr>
  </w:style>
  <w:style w:type="paragraph" w:styleId="TableParagraph" w:customStyle="1">
    <w:name w:val="Table Paragraph"/>
    <w:basedOn w:val="Normale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248E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248EF"/>
    <w:rPr>
      <w:rFonts w:ascii="Segoe UI" w:cs="Segoe UI" w:hAnsi="Segoe UI"/>
      <w:position w:val="-1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7B0F4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B0F4D"/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7B0F4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B0F4D"/>
    <w:rPr>
      <w:position w:val="-1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uo3r5Ur6OOjPZ2/2yiiRfSANng==">AMUW2mUYZvmBgwc3LW+yebR1K8f2vf8IeV7CZaEPLokdG/p633eKmiVwD3Y3zAf5v61usuFnJoZpHHE9btSzaU+ntyf67uKxMkQqPFwFp92XT9uLqzRUszo=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2022-10-20T09:58:00Z</dcterms:created>
  <dc:creator>Peppino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2022-03-02T00:00:00Z</vt:filetime>
  </property>
</Properties>
</file>